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ОТЗЫВ</w:t>
      </w:r>
      <w:r w:rsidDel="00000000" w:rsidR="00000000" w:rsidRPr="00000000">
        <w:rPr>
          <w:b w:val="1"/>
          <w:sz w:val="28"/>
          <w:szCs w:val="28"/>
          <w:rtl w:val="0"/>
        </w:rPr>
        <w:t xml:space="preserve"> НАУЧНОГО РУКОВОДИТЕЛЯ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на выпускную квалификационную работу студента 4 курса</w:t>
        <w:br w:type="textWrapping"/>
        <w:t xml:space="preserve">кафедры системного программирования СПбГУ </w:t>
        <w:br w:type="textWrapping"/>
        <w:t xml:space="preserve">направления 09.03.04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«Программная инженерия»</w:t>
        <w:br w:type="textWrapping"/>
      </w:r>
      <w:r w:rsidDel="00000000" w:rsidR="00000000" w:rsidRPr="00000000">
        <w:rPr>
          <w:rtl w:val="0"/>
        </w:rPr>
        <w:t xml:space="preserve">Фёдорова Романа Дмитриевича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«</w:t>
      </w:r>
      <w:r w:rsidDel="00000000" w:rsidR="00000000" w:rsidRPr="00000000">
        <w:rPr>
          <w:rtl w:val="0"/>
        </w:rPr>
        <w:t xml:space="preserve">Разработка имитации сценариев голосования в системе Blockchain benchmarking</w:t>
      </w:r>
      <w:r w:rsidDel="00000000" w:rsidR="00000000" w:rsidRPr="00000000">
        <w:rPr>
          <w:sz w:val="28"/>
          <w:szCs w:val="28"/>
          <w:rtl w:val="0"/>
        </w:rPr>
        <w:t xml:space="preserve">» </w:t>
      </w:r>
    </w:p>
    <w:p w:rsidR="00000000" w:rsidDel="00000000" w:rsidP="00000000" w:rsidRDefault="00000000" w:rsidRPr="00000000" w14:paraId="00000003">
      <w:pPr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>
          <w:rtl w:val="0"/>
        </w:rPr>
        <w:t xml:space="preserve">Технология распределённых репозиториев «</w:t>
      </w:r>
      <w:r w:rsidDel="00000000" w:rsidR="00000000" w:rsidRPr="00000000">
        <w:rPr>
          <w:rtl w:val="0"/>
        </w:rPr>
        <w:t xml:space="preserve">блокчейн» вопреки распространённому мнению применяется не только для криптовалют. Одним из перспективных направлений является использование в распределённом голосовании (государственном или собственников  компании). Выбор подходящей технологии для внедрения — сложная задача, но проект Blockchain Benchmarking помогаем сравнивать по реализации блокчейн по параметрам производительности.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Перед Романом была поставлена задача разработки функциональности имитации различных сценариев голосования в систему автоматизированного тестирования в рамках проекта Blockchain benchmarking. Необходимо было изучить предметную область, выявить требования и переложить их в архитектуру системы, выполнить реализацию, а затем провести апробацию.</w:t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  <w:t xml:space="preserve">К сожалению, не могу сказать, что Роман блестяще справился с поставленной задачей в полном объеме. </w:t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  <w:t xml:space="preserve">Собственно техническая реализация не так уж сложна и основной результат работы, кроме собственно работающей системы, должен был быть получен на шаге апробации. Но в силу созданных Романом условий нехватки времени к моменту завершения текста работы было проведено не так уж много экспериментов.</w:t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>
          <w:rtl w:val="0"/>
        </w:rPr>
        <w:t xml:space="preserve">На момент написания отзыва пребываю в ожидании защиты работы перед комиссией, в ходе которой Роман продемонстрирует не только навыки выступления, но и предъявит данные из новых проведённых экспериментов, а также и предложит анализ их результатов. Возможно, что код и документация тоже качественно шагнут вперёд.</w:t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  <w:t xml:space="preserve">Несмотря на то, что проделанная работа свидетельствует о достаточно высоких профессиональных качествах исполнителя, могу оценить сотрудничество только как “удовлетворительное”, но готов изменить своё мнение в случае качественной презентации Романом интересных результатов на защите.</w:t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Старший преподаватель </w:t>
        <w:br w:type="textWrapping"/>
        <w:t xml:space="preserve">кафедры системного программирования Я.А.Кириленко</w:t>
      </w:r>
    </w:p>
    <w:p w:rsidR="00000000" w:rsidDel="00000000" w:rsidP="00000000" w:rsidRDefault="00000000" w:rsidRPr="00000000" w14:paraId="0000000D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07 июня 2018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 Slab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Roboto Slab" w:cs="Roboto Slab" w:eastAsia="Roboto Slab" w:hAnsi="Roboto Slab"/>
        <w:sz w:val="28"/>
        <w:szCs w:val="28"/>
        <w:lang w:val="en"/>
      </w:rPr>
    </w:rPrDefault>
    <w:pPrDefault>
      <w:pPr>
        <w:spacing w:line="276" w:lineRule="auto"/>
        <w:ind w:firstLine="72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Slab-regular.ttf"/><Relationship Id="rId2" Type="http://schemas.openxmlformats.org/officeDocument/2006/relationships/font" Target="fonts/RobotoSlab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